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5841" w:rsidRPr="00A76BAA" w:rsidRDefault="00B45841" w:rsidP="00B45841">
      <w:pPr>
        <w:suppressAutoHyphens/>
        <w:spacing w:after="120"/>
        <w:jc w:val="center"/>
        <w:rPr>
          <w:rFonts w:asciiTheme="minorHAnsi" w:hAnsiTheme="minorHAnsi" w:cstheme="minorHAnsi"/>
          <w:b/>
          <w:lang w:eastAsia="zh-CN"/>
        </w:rPr>
      </w:pPr>
      <w:r w:rsidRPr="00A76BAA">
        <w:rPr>
          <w:rFonts w:asciiTheme="minorHAnsi" w:hAnsiTheme="minorHAnsi" w:cstheme="minorHAnsi"/>
          <w:b/>
          <w:lang w:eastAsia="zh-CN"/>
        </w:rPr>
        <w:t>ΟΙΚΟΝΟΜΙΚΗ ΠΡΟΣΦΟΡΑ</w:t>
      </w:r>
    </w:p>
    <w:p w:rsidR="00B45841" w:rsidRPr="00ED34D3" w:rsidRDefault="00B45841" w:rsidP="00B45841">
      <w:pPr>
        <w:suppressAutoHyphens/>
        <w:spacing w:after="120" w:line="240" w:lineRule="auto"/>
        <w:jc w:val="both"/>
        <w:rPr>
          <w:rFonts w:eastAsia="Times New Roman" w:cs="Calibri"/>
          <w:lang w:eastAsia="zh-CN"/>
        </w:rPr>
      </w:pPr>
      <w:bookmarkStart w:id="0" w:name="_Hlk66268624"/>
      <w:r w:rsidRPr="2F044442">
        <w:rPr>
          <w:rFonts w:eastAsia="Times New Roman" w:cs="Calibri"/>
          <w:lang w:eastAsia="zh-CN"/>
        </w:rPr>
        <w:t xml:space="preserve">Που αφορά στον Ανοικτό Διεθνή διαγωνισμό με τίτλο </w:t>
      </w:r>
      <w:r w:rsidRPr="2F044442">
        <w:rPr>
          <w:rFonts w:eastAsia="Times New Roman" w:cs="Calibri"/>
          <w:b/>
          <w:bCs/>
          <w:lang w:eastAsia="zh-CN"/>
        </w:rPr>
        <w:t xml:space="preserve">«Ενίσχυση της </w:t>
      </w:r>
      <w:proofErr w:type="spellStart"/>
      <w:r w:rsidRPr="2F044442">
        <w:rPr>
          <w:rFonts w:eastAsia="Times New Roman" w:cs="Calibri"/>
          <w:b/>
          <w:bCs/>
          <w:lang w:eastAsia="zh-CN"/>
        </w:rPr>
        <w:t>Μικροκινητικότητας</w:t>
      </w:r>
      <w:proofErr w:type="spellEnd"/>
      <w:r w:rsidRPr="2F044442">
        <w:rPr>
          <w:rFonts w:eastAsia="Times New Roman" w:cs="Calibri"/>
          <w:b/>
          <w:bCs/>
          <w:lang w:eastAsia="zh-CN"/>
        </w:rPr>
        <w:t xml:space="preserve"> στο Δήμο Δάφνης-Υμηττού»</w:t>
      </w:r>
      <w:r w:rsidRPr="2F044442">
        <w:rPr>
          <w:rFonts w:eastAsia="Times New Roman" w:cs="Calibri"/>
          <w:lang w:eastAsia="zh-CN"/>
        </w:rPr>
        <w:t xml:space="preserve"> Προϋπολογισθείσας δαπάνης 309.789,2€, συμπεριλαμβανομένου του Φ.Π.Α».</w:t>
      </w:r>
    </w:p>
    <w:p w:rsidR="00B45841" w:rsidRDefault="00B45841" w:rsidP="00B45841">
      <w:pPr>
        <w:suppressAutoHyphens/>
        <w:spacing w:after="120"/>
        <w:jc w:val="both"/>
        <w:rPr>
          <w:rFonts w:asciiTheme="minorHAnsi" w:eastAsia="Times New Roman" w:hAnsiTheme="minorHAnsi" w:cstheme="minorHAnsi"/>
          <w:bCs/>
          <w:lang w:eastAsia="zh-CN"/>
        </w:rPr>
      </w:pPr>
      <w:r w:rsidRPr="00ED34D3">
        <w:rPr>
          <w:rFonts w:eastAsia="Times New Roman" w:cs="Calibri"/>
          <w:bCs/>
          <w:lang w:eastAsia="zh-CN"/>
        </w:rPr>
        <w:t>Αφού έλαβα γνώση των στοιχείων της μελέτης</w:t>
      </w:r>
      <w:r w:rsidRPr="00221F3A">
        <w:rPr>
          <w:rFonts w:eastAsia="Times New Roman" w:cs="Calibri"/>
          <w:bCs/>
          <w:szCs w:val="24"/>
          <w:lang w:eastAsia="zh-CN"/>
        </w:rPr>
        <w:t xml:space="preserve"> που αφορά στην προμήθεια, την διακήρυξη αυτής με τα παραρτήματά της, καθώς και των συνθηκών εκτέλεσης της προμήθειας αυτής, υποβάλλω την παρούσα προσφορά και δηλώνω ότι αποδέχομαι πλήρως και χωρίς επιφύλαξη ταύτα και αναλαμβάνω την παροχή της προμήθειας με τις ακόλουθες τιμές και την συνολική τιμή επί του συνολικού προϋπολογισμού αυτής.</w:t>
      </w:r>
    </w:p>
    <w:tbl>
      <w:tblPr>
        <w:tblW w:w="963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968"/>
        <w:gridCol w:w="1080"/>
        <w:gridCol w:w="1080"/>
        <w:gridCol w:w="810"/>
        <w:gridCol w:w="1260"/>
        <w:gridCol w:w="1440"/>
      </w:tblGrid>
      <w:tr w:rsidR="00B45841" w:rsidRPr="00C75187" w:rsidTr="00490C14">
        <w:trPr>
          <w:trHeight w:val="300"/>
          <w:tblHeader/>
          <w:jc w:val="right"/>
        </w:trPr>
        <w:tc>
          <w:tcPr>
            <w:tcW w:w="3968" w:type="dxa"/>
            <w:shd w:val="clear" w:color="auto" w:fill="auto"/>
            <w:vAlign w:val="center"/>
            <w:hideMark/>
          </w:tcPr>
          <w:bookmarkEnd w:id="0"/>
          <w:p w:rsidR="00B45841" w:rsidRPr="00C75187" w:rsidRDefault="00B45841" w:rsidP="00490C14">
            <w:pPr>
              <w:pStyle w:val="normalwithoutspacing"/>
              <w:spacing w:before="57" w:after="57"/>
              <w:jc w:val="center"/>
              <w:rPr>
                <w:rFonts w:eastAsia="SimSun"/>
                <w:sz w:val="20"/>
                <w:szCs w:val="20"/>
              </w:rPr>
            </w:pPr>
            <w:r w:rsidRPr="00C75187">
              <w:rPr>
                <w:rFonts w:eastAsia="SimSun"/>
                <w:b/>
                <w:bCs/>
                <w:sz w:val="20"/>
                <w:szCs w:val="20"/>
              </w:rPr>
              <w:t>ΕΙΔΗ/ΔΡΑΣΕΙΣ</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b/>
                <w:bCs/>
                <w:sz w:val="20"/>
                <w:szCs w:val="20"/>
              </w:rPr>
              <w:t>ΜΟΝΑΔΑ ΜΕΤΡΗΣΗΣ</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b/>
                <w:bCs/>
                <w:sz w:val="20"/>
                <w:szCs w:val="20"/>
              </w:rPr>
              <w:t>ΤΙΜΗ ΜΟΝΑΔΑΣ</w:t>
            </w:r>
          </w:p>
        </w:tc>
        <w:tc>
          <w:tcPr>
            <w:tcW w:w="81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b/>
                <w:bCs/>
                <w:sz w:val="20"/>
                <w:szCs w:val="20"/>
              </w:rPr>
              <w:t>ΠΟΣΟΤ</w:t>
            </w:r>
            <w:r w:rsidRPr="00C75187">
              <w:rPr>
                <w:rFonts w:eastAsia="SimSun"/>
                <w:b/>
                <w:bCs/>
                <w:sz w:val="20"/>
                <w:szCs w:val="20"/>
                <w:lang w:val="en-US"/>
              </w:rPr>
              <w:t>.</w:t>
            </w:r>
          </w:p>
        </w:tc>
        <w:tc>
          <w:tcPr>
            <w:tcW w:w="126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b/>
                <w:bCs/>
                <w:sz w:val="20"/>
                <w:szCs w:val="20"/>
              </w:rPr>
              <w:t>ΣΥΝΟΛΟ</w:t>
            </w:r>
          </w:p>
        </w:tc>
        <w:tc>
          <w:tcPr>
            <w:tcW w:w="1440" w:type="dxa"/>
            <w:shd w:val="clear" w:color="auto" w:fill="auto"/>
          </w:tcPr>
          <w:p w:rsidR="00B45841" w:rsidRPr="00C75187" w:rsidRDefault="00B45841" w:rsidP="00490C14">
            <w:pPr>
              <w:pStyle w:val="normalwithoutspacing"/>
              <w:spacing w:before="57" w:after="57"/>
              <w:jc w:val="center"/>
              <w:rPr>
                <w:rFonts w:eastAsia="SimSun"/>
                <w:b/>
                <w:bCs/>
                <w:sz w:val="20"/>
                <w:szCs w:val="20"/>
              </w:rPr>
            </w:pPr>
            <w:r w:rsidRPr="00C75187">
              <w:rPr>
                <w:rFonts w:eastAsia="SimSun"/>
                <w:b/>
                <w:bCs/>
                <w:sz w:val="20"/>
                <w:szCs w:val="20"/>
              </w:rPr>
              <w:t>ΣΥΝΟΛΟ</w:t>
            </w:r>
          </w:p>
          <w:p w:rsidR="00B45841" w:rsidRPr="006B4402" w:rsidRDefault="00B45841" w:rsidP="00490C14">
            <w:pPr>
              <w:pStyle w:val="normalwithoutspacing"/>
              <w:spacing w:before="57" w:after="57"/>
              <w:jc w:val="center"/>
              <w:rPr>
                <w:rFonts w:eastAsia="SimSun"/>
                <w:b/>
                <w:bCs/>
                <w:sz w:val="20"/>
                <w:szCs w:val="20"/>
                <w:lang w:val="en-US"/>
              </w:rPr>
            </w:pPr>
            <w:r w:rsidRPr="00C75187">
              <w:rPr>
                <w:rFonts w:eastAsia="SimSun"/>
                <w:b/>
                <w:bCs/>
                <w:sz w:val="20"/>
                <w:szCs w:val="20"/>
              </w:rPr>
              <w:t>ΜΕ ΦΠΑ</w:t>
            </w:r>
            <w:r>
              <w:rPr>
                <w:rFonts w:eastAsia="SimSun"/>
                <w:b/>
                <w:bCs/>
                <w:sz w:val="20"/>
                <w:szCs w:val="20"/>
                <w:lang w:val="en-US"/>
              </w:rPr>
              <w:t xml:space="preserve"> 24%</w:t>
            </w:r>
          </w:p>
        </w:tc>
      </w:tr>
      <w:tr w:rsidR="00B45841" w:rsidRPr="00C75187" w:rsidTr="00490C14">
        <w:trPr>
          <w:trHeight w:val="57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Ηλεκτρικό Ποδήλατο Πόλης, Ειδικής Σχεδίασης για Κοινόχρηστα Συστήματα Μίσθωσης, με "Έξυπνη" Κλειδαριά </w:t>
            </w:r>
            <w:proofErr w:type="spellStart"/>
            <w:r w:rsidRPr="00C75187">
              <w:rPr>
                <w:rFonts w:eastAsia="SimSun"/>
                <w:sz w:val="20"/>
                <w:szCs w:val="20"/>
              </w:rPr>
              <w:t>IoT</w:t>
            </w:r>
            <w:proofErr w:type="spellEnd"/>
            <w:r w:rsidRPr="00C75187">
              <w:rPr>
                <w:rFonts w:eastAsia="SimSun"/>
                <w:sz w:val="20"/>
                <w:szCs w:val="20"/>
              </w:rPr>
              <w:t> (4G/GPS)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F044442">
              <w:rPr>
                <w:rFonts w:eastAsia="SimSun"/>
                <w:sz w:val="20"/>
                <w:szCs w:val="20"/>
              </w:rPr>
              <w:t>38</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4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proofErr w:type="spellStart"/>
            <w:r w:rsidRPr="00C75187">
              <w:rPr>
                <w:rFonts w:eastAsia="SimSun"/>
                <w:sz w:val="20"/>
                <w:szCs w:val="20"/>
              </w:rPr>
              <w:t>Αντιβανδαλιστική</w:t>
            </w:r>
            <w:proofErr w:type="spellEnd"/>
            <w:r w:rsidRPr="00C75187">
              <w:rPr>
                <w:rFonts w:eastAsia="SimSun"/>
                <w:sz w:val="20"/>
                <w:szCs w:val="20"/>
              </w:rPr>
              <w:t> Θέση Κλειδώματος &amp; Φόρτισης Ποδηλάτου, με Λειτουργικότητα Αυτόματης Φόρτισης του Ποδηλάτου Όσο είναι Κλειδωμένο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F044442">
              <w:rPr>
                <w:rFonts w:eastAsia="SimSun"/>
                <w:sz w:val="20"/>
                <w:szCs w:val="20"/>
              </w:rPr>
              <w:t>40</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25"/>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Σύστημα Φόρτισης Σταθμού Μίσθωσης με Ενσωματωμένο Βιομηχανικό Υπολογιστή και 4G </w:t>
            </w:r>
            <w:proofErr w:type="spellStart"/>
            <w:r w:rsidRPr="00C75187">
              <w:rPr>
                <w:rFonts w:eastAsia="SimSun"/>
                <w:sz w:val="20"/>
                <w:szCs w:val="20"/>
              </w:rPr>
              <w:t>router</w:t>
            </w:r>
            <w:proofErr w:type="spellEnd"/>
            <w:r w:rsidRPr="00C75187">
              <w:rPr>
                <w:rFonts w:eastAsia="SimSun"/>
                <w:sz w:val="20"/>
                <w:szCs w:val="20"/>
              </w:rPr>
              <w:t>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4</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7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Τερματικό Μίσθωσης Ποδηλάτου με Ενσωματωμένο Σύστημα Φόρτισης, Οθόνη Αφής, Αναγνώστη Πιστωτικών/Χρεωστικών Καρτών και Εκτυπωτή Αποδείξεων. Το τερματικό θα χρησιμοποιείται για τη μίσθωση ποδηλάτου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F044442">
              <w:rPr>
                <w:rFonts w:eastAsia="SimSun"/>
                <w:sz w:val="20"/>
                <w:szCs w:val="20"/>
              </w:rPr>
              <w:t>2</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85"/>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Άδεια Χρήσης Λογισμικού Τερματικού Μίσθωσης Ποδηλάτου. Μέσω του λογισμικού θα είναι εφικτή η μίσθωση ποδηλάτου από τον χρήστη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F044442">
              <w:rPr>
                <w:rFonts w:eastAsia="SimSun"/>
                <w:sz w:val="20"/>
                <w:szCs w:val="20"/>
              </w:rPr>
              <w:t>6</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7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Web-</w:t>
            </w:r>
            <w:proofErr w:type="spellStart"/>
            <w:r w:rsidRPr="00C75187">
              <w:rPr>
                <w:rFonts w:eastAsia="SimSun"/>
                <w:sz w:val="20"/>
                <w:szCs w:val="20"/>
              </w:rPr>
              <w:t>Based</w:t>
            </w:r>
            <w:proofErr w:type="spellEnd"/>
            <w:r w:rsidRPr="00C75187">
              <w:rPr>
                <w:rFonts w:eastAsia="SimSun"/>
                <w:sz w:val="20"/>
                <w:szCs w:val="20"/>
              </w:rPr>
              <w:t> Λογισμικό Διαχείρισης Συστήματος, μέσω του οποίου θα γίνεται η συνολική διαχείριση και η παρακολούθηση λειτουργίας του συστήματος μίσθωσης ποδηλάτων.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765"/>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proofErr w:type="spellStart"/>
            <w:r w:rsidRPr="00C75187">
              <w:rPr>
                <w:rFonts w:eastAsia="SimSun"/>
                <w:sz w:val="20"/>
                <w:szCs w:val="20"/>
              </w:rPr>
              <w:t>Mobile</w:t>
            </w:r>
            <w:proofErr w:type="spellEnd"/>
            <w:r w:rsidRPr="00C75187">
              <w:rPr>
                <w:rFonts w:eastAsia="SimSun"/>
                <w:sz w:val="20"/>
                <w:szCs w:val="20"/>
              </w:rPr>
              <w:t> Εφαρμογή (</w:t>
            </w:r>
            <w:proofErr w:type="spellStart"/>
            <w:r w:rsidRPr="00C75187">
              <w:rPr>
                <w:rFonts w:eastAsia="SimSun"/>
                <w:sz w:val="20"/>
                <w:szCs w:val="20"/>
              </w:rPr>
              <w:t>iOS</w:t>
            </w:r>
            <w:proofErr w:type="spellEnd"/>
            <w:r w:rsidRPr="00C75187">
              <w:rPr>
                <w:rFonts w:eastAsia="SimSun"/>
                <w:sz w:val="20"/>
                <w:szCs w:val="20"/>
              </w:rPr>
              <w:t>, </w:t>
            </w:r>
            <w:proofErr w:type="spellStart"/>
            <w:r w:rsidRPr="00C75187">
              <w:rPr>
                <w:rFonts w:eastAsia="SimSun"/>
                <w:sz w:val="20"/>
                <w:szCs w:val="20"/>
              </w:rPr>
              <w:t>Android</w:t>
            </w:r>
            <w:proofErr w:type="spellEnd"/>
            <w:r w:rsidRPr="00C75187">
              <w:rPr>
                <w:rFonts w:eastAsia="SimSun"/>
                <w:sz w:val="20"/>
                <w:szCs w:val="20"/>
              </w:rPr>
              <w:t>), μέσω της οποίας θα είναι εφικτή η μίσθωση ποδηλάτου από τους χρήστες. Περιλαμβάνει 24μηνη συνδρομή υπηρεσίας </w:t>
            </w:r>
            <w:proofErr w:type="spellStart"/>
            <w:r w:rsidRPr="00C75187">
              <w:rPr>
                <w:rFonts w:eastAsia="SimSun"/>
                <w:sz w:val="20"/>
                <w:szCs w:val="20"/>
              </w:rPr>
              <w:t>SaaS</w:t>
            </w:r>
            <w:proofErr w:type="spellEnd"/>
            <w:r w:rsidRPr="00C75187">
              <w:rPr>
                <w:rFonts w:eastAsia="SimSun"/>
                <w:sz w:val="20"/>
                <w:szCs w:val="20"/>
              </w:rPr>
              <w:t>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2</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25"/>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Εξοπλισμός Έκδοσης Προσωποποιημένων Έξυπνων Καρτών Συνδρομητών, οι οποίες θα μπορούν να χρησιμοποιηθούν για τη μίσθωση ποδηλάτου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525"/>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 xml:space="preserve">Λογισμικό Έκδοσης Προσωποποιημένων Έξυπνων Καρτών Συνδρομητών, οι οποίες θα </w:t>
            </w:r>
            <w:r w:rsidRPr="00C75187">
              <w:rPr>
                <w:rFonts w:eastAsia="SimSun"/>
                <w:sz w:val="20"/>
                <w:szCs w:val="20"/>
              </w:rPr>
              <w:lastRenderedPageBreak/>
              <w:t>μπορούν να χρησιμοποιηθούν για τη μίσθωση ποδηλάτου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proofErr w:type="spellStart"/>
            <w:r w:rsidRPr="00C75187">
              <w:rPr>
                <w:rFonts w:eastAsia="SimSun"/>
                <w:sz w:val="20"/>
                <w:szCs w:val="20"/>
              </w:rPr>
              <w:lastRenderedPageBreak/>
              <w:t>Τμχ</w:t>
            </w:r>
            <w:proofErr w:type="spellEnd"/>
            <w:r w:rsidRPr="00C75187">
              <w:rPr>
                <w:rFonts w:eastAsia="SimSun"/>
                <w:sz w:val="20"/>
                <w:szCs w:val="20"/>
              </w:rPr>
              <w:t>.</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Εικαστική Προσαρμογή Συστήματος, η οποία περιλαμβάνει γραφιστική σχεδίαση και παραγωγή αυτοκόλλητων για τα ποδήλατα και τους σταθμούς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Εγκατάσταση Εξοπλισμού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FBB6FC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Υπηρεσίες Εκπόνησης Μελέτης Εφαρμογής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Υπηρεσίες Εκπαίδευσης &amp; πιλοτικής λειτουργίας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pPr>
            <w:r w:rsidRPr="21469C3C">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Συνδέσεις 4G για 1 Έτος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Υπηρεσίες Εγγυημένης Λειτουργίας Συστήματος για τουλάχιστον 1 Έτος και σύμφωνα με την υποβαλλόμενη προσφορά</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3B00B950">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3968" w:type="dxa"/>
            <w:shd w:val="clear" w:color="auto" w:fill="auto"/>
            <w:vAlign w:val="center"/>
            <w:hideMark/>
          </w:tcPr>
          <w:p w:rsidR="00B45841" w:rsidRPr="00C75187" w:rsidRDefault="00B45841" w:rsidP="00490C14">
            <w:pPr>
              <w:pStyle w:val="normalwithoutspacing"/>
              <w:spacing w:before="57" w:after="57"/>
              <w:ind w:left="142" w:right="145"/>
              <w:jc w:val="left"/>
              <w:rPr>
                <w:rFonts w:eastAsia="SimSun"/>
                <w:sz w:val="20"/>
                <w:szCs w:val="20"/>
              </w:rPr>
            </w:pPr>
            <w:r w:rsidRPr="00C75187">
              <w:rPr>
                <w:rFonts w:eastAsia="SimSun"/>
                <w:sz w:val="20"/>
                <w:szCs w:val="20"/>
              </w:rPr>
              <w:t>Δράσεις Δημοσιότητας </w:t>
            </w:r>
          </w:p>
        </w:tc>
        <w:tc>
          <w:tcPr>
            <w:tcW w:w="1080" w:type="dxa"/>
            <w:shd w:val="clear" w:color="auto" w:fill="auto"/>
            <w:vAlign w:val="center"/>
            <w:hideMark/>
          </w:tcPr>
          <w:p w:rsidR="00B45841" w:rsidRPr="00C75187" w:rsidRDefault="00B45841" w:rsidP="00490C14">
            <w:pPr>
              <w:pStyle w:val="normalwithoutspacing"/>
              <w:spacing w:before="57" w:after="57"/>
              <w:jc w:val="center"/>
              <w:rPr>
                <w:rFonts w:eastAsia="SimSun"/>
                <w:sz w:val="20"/>
                <w:szCs w:val="20"/>
              </w:rPr>
            </w:pPr>
            <w:r w:rsidRPr="00C75187">
              <w:rPr>
                <w:rFonts w:eastAsia="SimSun"/>
                <w:sz w:val="20"/>
                <w:szCs w:val="20"/>
              </w:rPr>
              <w:t>Κατ' αποκοπή</w:t>
            </w:r>
          </w:p>
        </w:tc>
        <w:tc>
          <w:tcPr>
            <w:tcW w:w="108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81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r w:rsidRPr="21469C3C">
              <w:rPr>
                <w:rFonts w:eastAsia="SimSun"/>
                <w:sz w:val="20"/>
                <w:szCs w:val="20"/>
              </w:rPr>
              <w:t>1</w:t>
            </w:r>
          </w:p>
        </w:tc>
        <w:tc>
          <w:tcPr>
            <w:tcW w:w="1260" w:type="dxa"/>
            <w:shd w:val="clear" w:color="auto" w:fill="auto"/>
            <w:vAlign w:val="center"/>
          </w:tcPr>
          <w:p w:rsidR="00B45841" w:rsidRPr="00C75187" w:rsidRDefault="00B45841" w:rsidP="00490C14">
            <w:pPr>
              <w:pStyle w:val="normalwithoutspacing"/>
              <w:spacing w:before="57" w:after="57"/>
              <w:jc w:val="center"/>
              <w:rPr>
                <w:rFonts w:eastAsia="SimSun"/>
                <w:sz w:val="20"/>
                <w:szCs w:val="20"/>
              </w:rPr>
            </w:pPr>
          </w:p>
        </w:tc>
        <w:tc>
          <w:tcPr>
            <w:tcW w:w="1440" w:type="dxa"/>
          </w:tcPr>
          <w:p w:rsidR="00B45841" w:rsidRPr="00C75187" w:rsidRDefault="00B45841" w:rsidP="00490C14">
            <w:pPr>
              <w:pStyle w:val="normalwithoutspacing"/>
              <w:spacing w:before="57" w:after="57"/>
              <w:jc w:val="center"/>
              <w:rPr>
                <w:rFonts w:eastAsia="SimSun"/>
                <w:sz w:val="20"/>
                <w:szCs w:val="20"/>
              </w:rPr>
            </w:pPr>
          </w:p>
        </w:tc>
      </w:tr>
      <w:tr w:rsidR="00B45841" w:rsidRPr="00C75187" w:rsidTr="00490C14">
        <w:trPr>
          <w:trHeight w:val="300"/>
          <w:jc w:val="right"/>
        </w:trPr>
        <w:tc>
          <w:tcPr>
            <w:tcW w:w="8198" w:type="dxa"/>
            <w:gridSpan w:val="5"/>
            <w:shd w:val="clear" w:color="auto" w:fill="auto"/>
            <w:vAlign w:val="center"/>
            <w:hideMark/>
          </w:tcPr>
          <w:p w:rsidR="00B45841" w:rsidRPr="00C75187" w:rsidRDefault="00B45841" w:rsidP="00490C14">
            <w:pPr>
              <w:pStyle w:val="normalwithoutspacing"/>
              <w:spacing w:before="57" w:after="57"/>
              <w:jc w:val="right"/>
              <w:rPr>
                <w:rFonts w:eastAsia="SimSun"/>
                <w:sz w:val="20"/>
                <w:szCs w:val="20"/>
              </w:rPr>
            </w:pPr>
            <w:r w:rsidRPr="00C75187">
              <w:rPr>
                <w:rFonts w:eastAsia="SimSun"/>
                <w:b/>
                <w:bCs/>
                <w:sz w:val="20"/>
                <w:szCs w:val="20"/>
              </w:rPr>
              <w:t>ΓΕΝΙΚΟ ΣΥΝΟΛΟ:</w:t>
            </w:r>
            <w:r w:rsidRPr="00C75187">
              <w:rPr>
                <w:rFonts w:eastAsia="SimSun"/>
                <w:sz w:val="20"/>
                <w:szCs w:val="20"/>
              </w:rPr>
              <w:t> </w:t>
            </w:r>
          </w:p>
        </w:tc>
        <w:tc>
          <w:tcPr>
            <w:tcW w:w="1440" w:type="dxa"/>
          </w:tcPr>
          <w:p w:rsidR="00B45841" w:rsidRPr="00C75187" w:rsidRDefault="00B45841" w:rsidP="00490C14">
            <w:pPr>
              <w:pStyle w:val="normalwithoutspacing"/>
              <w:spacing w:before="57" w:after="57"/>
              <w:rPr>
                <w:rFonts w:eastAsia="SimSun"/>
                <w:b/>
                <w:bCs/>
                <w:sz w:val="20"/>
                <w:szCs w:val="20"/>
              </w:rPr>
            </w:pPr>
          </w:p>
        </w:tc>
      </w:tr>
    </w:tbl>
    <w:p w:rsidR="00B45841" w:rsidRDefault="00B45841" w:rsidP="00B45841">
      <w:pPr>
        <w:tabs>
          <w:tab w:val="left" w:pos="8820"/>
        </w:tabs>
        <w:spacing w:before="240" w:after="0"/>
        <w:jc w:val="right"/>
        <w:rPr>
          <w:rFonts w:asciiTheme="minorHAnsi" w:hAnsiTheme="minorHAnsi" w:cstheme="minorHAnsi"/>
        </w:rPr>
      </w:pPr>
    </w:p>
    <w:p w:rsidR="00B45841" w:rsidRPr="00A76BAA" w:rsidRDefault="00B45841" w:rsidP="00B45841">
      <w:pPr>
        <w:tabs>
          <w:tab w:val="left" w:pos="8820"/>
        </w:tabs>
        <w:spacing w:before="240" w:after="0"/>
        <w:jc w:val="right"/>
        <w:rPr>
          <w:rFonts w:asciiTheme="minorHAnsi" w:hAnsiTheme="minorHAnsi" w:cstheme="minorHAnsi"/>
        </w:rPr>
      </w:pPr>
      <w:r w:rsidRPr="00A76BAA">
        <w:rPr>
          <w:rFonts w:asciiTheme="minorHAnsi" w:hAnsiTheme="minorHAnsi" w:cstheme="minorHAnsi"/>
        </w:rPr>
        <w:t>……………………., ……/……./……</w:t>
      </w:r>
    </w:p>
    <w:p w:rsidR="00B45841" w:rsidRDefault="00B45841" w:rsidP="00B45841">
      <w:pPr>
        <w:tabs>
          <w:tab w:val="left" w:pos="8820"/>
        </w:tabs>
        <w:jc w:val="right"/>
        <w:rPr>
          <w:rFonts w:asciiTheme="minorHAnsi" w:hAnsiTheme="minorHAnsi" w:cstheme="minorHAnsi"/>
        </w:rPr>
      </w:pPr>
      <w:r w:rsidRPr="00351604">
        <w:rPr>
          <w:rFonts w:asciiTheme="minorHAnsi" w:hAnsiTheme="minorHAnsi" w:cstheme="minorHAnsi"/>
        </w:rPr>
        <w:t>Ο ΠΡΟΣΦΕΡΩΝ</w:t>
      </w:r>
    </w:p>
    <w:p w:rsidR="003F0BAE" w:rsidRDefault="003F0BAE"/>
    <w:sectPr w:rsidR="003F0BA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841"/>
    <w:rsid w:val="003F0BAE"/>
    <w:rsid w:val="00B4584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9D80A"/>
  <w15:chartTrackingRefBased/>
  <w15:docId w15:val="{9CCC2855-DB48-4CC8-A0F6-DFCB984A2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841"/>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ithoutspacing">
    <w:name w:val="normal_without_spacing"/>
    <w:basedOn w:val="a"/>
    <w:rsid w:val="00B45841"/>
    <w:pPr>
      <w:suppressAutoHyphens/>
      <w:spacing w:after="60" w:line="240" w:lineRule="auto"/>
      <w:jc w:val="both"/>
    </w:pPr>
    <w:rPr>
      <w:rFonts w:eastAsia="Times New Roman" w:cs="Calibri"/>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408</Words>
  <Characters>2204</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Dimos Dafnis-Ymittou</dc:creator>
  <cp:keywords/>
  <dc:description/>
  <cp:lastModifiedBy>Dimos Dafnis-Ymittou</cp:lastModifiedBy>
  <cp:revision>1</cp:revision>
  <dcterms:created xsi:type="dcterms:W3CDTF">2023-04-26T08:31:00Z</dcterms:created>
  <dcterms:modified xsi:type="dcterms:W3CDTF">2023-04-26T08:39:00Z</dcterms:modified>
</cp:coreProperties>
</file>